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BB" w:rsidRPr="00F90567" w:rsidRDefault="004B7EBB" w:rsidP="004B7EBB">
      <w:pPr>
        <w:pStyle w:val="Heading11"/>
        <w:keepNext/>
        <w:keepLines/>
        <w:shd w:val="clear" w:color="auto" w:fill="auto"/>
        <w:spacing w:after="157" w:line="360" w:lineRule="auto"/>
        <w:rPr>
          <w:rFonts w:ascii="Times New Roman" w:hAnsi="Times New Roman"/>
          <w:b/>
          <w:bCs/>
          <w:sz w:val="24"/>
          <w:szCs w:val="24"/>
        </w:rPr>
      </w:pPr>
      <w:r w:rsidRPr="00F90567">
        <w:rPr>
          <w:rFonts w:ascii="Times New Roman" w:hAnsi="Times New Roman"/>
          <w:b/>
          <w:i/>
        </w:rPr>
        <w:t>Programa</w:t>
      </w:r>
    </w:p>
    <w:p w:rsidR="004B7EBB" w:rsidRPr="00CF400B" w:rsidRDefault="004B7EBB" w:rsidP="004B7EBB">
      <w:pPr>
        <w:pStyle w:val="Heading11"/>
        <w:keepNext/>
        <w:keepLines/>
        <w:shd w:val="clear" w:color="auto" w:fill="auto"/>
        <w:spacing w:after="157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MÓDULO 1</w:t>
      </w:r>
      <w:r w:rsidRPr="00CF400B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i/>
          <w:sz w:val="24"/>
          <w:szCs w:val="24"/>
        </w:rPr>
        <w:t>L</w:t>
      </w:r>
      <w:r w:rsidRPr="00CF400B">
        <w:rPr>
          <w:rFonts w:ascii="Times New Roman" w:hAnsi="Times New Roman"/>
          <w:b/>
          <w:bCs/>
          <w:i/>
          <w:sz w:val="24"/>
          <w:szCs w:val="24"/>
        </w:rPr>
        <w:t>a empresa, inversión y financiamiento</w:t>
      </w:r>
    </w:p>
    <w:p w:rsidR="004B7EBB" w:rsidRPr="00BF6A98" w:rsidRDefault="004B7EBB" w:rsidP="004B7EBB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La Empresa. Concepto de empresa. Nuevos paradigmas. La Pymes frente a las nuevas realidades económicas. Especialización, diseño y est</w:t>
      </w:r>
      <w:r w:rsidRPr="00BF6A98">
        <w:rPr>
          <w:rFonts w:ascii="Times New Roman" w:hAnsi="Times New Roman"/>
          <w:sz w:val="24"/>
          <w:szCs w:val="24"/>
        </w:rPr>
        <w:t>rategias</w:t>
      </w:r>
      <w:r w:rsidRPr="00CF400B">
        <w:rPr>
          <w:rFonts w:ascii="Times New Roman" w:hAnsi="Times New Roman"/>
          <w:sz w:val="24"/>
          <w:szCs w:val="24"/>
        </w:rPr>
        <w:t xml:space="preserve"> </w:t>
      </w:r>
      <w:r w:rsidRPr="00BF6A98">
        <w:rPr>
          <w:rFonts w:ascii="Times New Roman" w:hAnsi="Times New Roman"/>
          <w:sz w:val="24"/>
          <w:szCs w:val="24"/>
        </w:rPr>
        <w:t>de inversión.</w:t>
      </w:r>
    </w:p>
    <w:p w:rsidR="004B7EBB" w:rsidRPr="00F90567" w:rsidRDefault="004B7EBB" w:rsidP="004B7EBB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BF6A98">
        <w:rPr>
          <w:rFonts w:ascii="Times New Roman" w:hAnsi="Times New Roman"/>
          <w:sz w:val="24"/>
          <w:szCs w:val="24"/>
        </w:rPr>
        <w:t>Creatividad para la Inversión y Planificación. La</w:t>
      </w:r>
      <w:r>
        <w:rPr>
          <w:rFonts w:ascii="Times New Roman" w:hAnsi="Times New Roman"/>
          <w:sz w:val="24"/>
          <w:szCs w:val="24"/>
          <w:lang w:val="es-ES"/>
        </w:rPr>
        <w:t xml:space="preserve"> inversión.</w:t>
      </w:r>
      <w:r w:rsidRPr="00F90567">
        <w:rPr>
          <w:rFonts w:ascii="Times New Roman" w:hAnsi="Times New Roman"/>
          <w:sz w:val="24"/>
          <w:szCs w:val="24"/>
        </w:rPr>
        <w:t xml:space="preserve"> Emprendedores y receptores. Planificación estratégica para la venta de las ideas. Viabilidad.</w:t>
      </w:r>
    </w:p>
    <w:p w:rsidR="004B7EBB" w:rsidRPr="00CF400B" w:rsidRDefault="004B7EBB" w:rsidP="004B7EBB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Requerimientos en el financiamiento. Mecanismos posibles de acuerdo a la inversión a realizar. Canales tradicionales y no tradicionales. Regulaciones tradicionales y novedosas en el código Civil y Comercial Común.</w:t>
      </w:r>
    </w:p>
    <w:p w:rsidR="004B7EBB" w:rsidRPr="00CF400B" w:rsidRDefault="004B7EBB" w:rsidP="004B7EBB">
      <w:pPr>
        <w:pStyle w:val="Bodytext2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 xml:space="preserve">El Mercado de Capitales. Concepto y funcionamiento. Organización, actores, funcionamiento, ventajas y costos. Análisis de cada uno de los elementos objetivos y subjetivos en juego. Posibles desventajas. Análisis comparativo de costos con mecanismos externos al mercado de capitales. </w:t>
      </w:r>
    </w:p>
    <w:p w:rsidR="004B7EBB" w:rsidRPr="00CF400B" w:rsidRDefault="004B7EBB" w:rsidP="004B7EBB">
      <w:pPr>
        <w:pStyle w:val="Bodytext20"/>
        <w:shd w:val="clear" w:color="auto" w:fill="auto"/>
        <w:tabs>
          <w:tab w:val="left" w:pos="426"/>
        </w:tabs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Pr="00CF400B">
        <w:rPr>
          <w:rFonts w:ascii="Times New Roman" w:hAnsi="Times New Roman"/>
          <w:sz w:val="24"/>
          <w:szCs w:val="24"/>
        </w:rPr>
        <w:t>Aspectos legales. Nuevo proyecto de Ley. La Oferta Pública. Control por parte del Estado. Legislación vigente. Actores. Requerimientos de idoneidad. Certificaciones</w:t>
      </w:r>
    </w:p>
    <w:p w:rsidR="004B7EBB" w:rsidRPr="00CF400B" w:rsidRDefault="004B7EBB" w:rsidP="004B7EBB">
      <w:pPr>
        <w:pStyle w:val="Bodytext20"/>
        <w:shd w:val="clear" w:color="auto" w:fill="auto"/>
        <w:tabs>
          <w:tab w:val="left" w:pos="426"/>
        </w:tabs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4B7EBB" w:rsidRPr="00CF400B" w:rsidRDefault="004B7EBB" w:rsidP="004B7EBB">
      <w:pPr>
        <w:pStyle w:val="Heading11"/>
        <w:keepNext/>
        <w:keepLines/>
        <w:shd w:val="clear" w:color="auto" w:fill="auto"/>
        <w:spacing w:after="153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MÓ</w:t>
      </w:r>
      <w:r w:rsidRPr="00CF400B">
        <w:rPr>
          <w:rFonts w:ascii="Times New Roman" w:hAnsi="Times New Roman"/>
          <w:b/>
          <w:sz w:val="24"/>
          <w:szCs w:val="24"/>
        </w:rPr>
        <w:t xml:space="preserve">DULO </w:t>
      </w:r>
      <w:r>
        <w:rPr>
          <w:rFonts w:ascii="Times New Roman" w:hAnsi="Times New Roman"/>
          <w:b/>
          <w:sz w:val="24"/>
          <w:szCs w:val="24"/>
        </w:rPr>
        <w:t>2</w:t>
      </w:r>
      <w:r w:rsidRPr="00CF400B">
        <w:rPr>
          <w:rFonts w:ascii="Times New Roman" w:hAnsi="Times New Roman"/>
          <w:b/>
          <w:i/>
          <w:sz w:val="24"/>
          <w:szCs w:val="24"/>
        </w:rPr>
        <w:t>: Mecanismos de concreción de la inversión</w:t>
      </w:r>
    </w:p>
    <w:p w:rsidR="004B7EBB" w:rsidRDefault="004B7EBB" w:rsidP="004B7EBB">
      <w:pPr>
        <w:pStyle w:val="Bodytext20"/>
        <w:numPr>
          <w:ilvl w:val="1"/>
          <w:numId w:val="2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 xml:space="preserve">Mecanismos de financiamiento alternativos. Préstamo bancario. Leasing y </w:t>
      </w:r>
      <w:proofErr w:type="spellStart"/>
      <w:r w:rsidRPr="00CF400B">
        <w:rPr>
          <w:rFonts w:ascii="Times New Roman" w:hAnsi="Times New Roman"/>
          <w:sz w:val="24"/>
          <w:szCs w:val="24"/>
        </w:rPr>
        <w:t>factoring</w:t>
      </w:r>
      <w:proofErr w:type="spellEnd"/>
      <w:r w:rsidRPr="00CF400B">
        <w:rPr>
          <w:rFonts w:ascii="Times New Roman" w:hAnsi="Times New Roman"/>
          <w:sz w:val="24"/>
          <w:szCs w:val="24"/>
        </w:rPr>
        <w:t>.</w:t>
      </w:r>
    </w:p>
    <w:p w:rsidR="004B7EBB" w:rsidRPr="00F171CC" w:rsidRDefault="004B7EBB" w:rsidP="004B7EBB">
      <w:pPr>
        <w:pStyle w:val="Bodytext20"/>
        <w:numPr>
          <w:ilvl w:val="1"/>
          <w:numId w:val="2"/>
        </w:numPr>
        <w:shd w:val="clear" w:color="auto" w:fill="auto"/>
        <w:spacing w:before="0"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F90567">
        <w:rPr>
          <w:rFonts w:ascii="Times New Roman" w:hAnsi="Times New Roman"/>
          <w:sz w:val="24"/>
          <w:szCs w:val="24"/>
        </w:rPr>
        <w:t xml:space="preserve">Mercados Financieros y de capitales. Operatoria en los mercados. Tipos de Mercados. Instrumentos (Concepto y características): Renta Fija (Bonos, Obligaciones, etc.)- Renta Variable. Gestión de Riesgos Financieros. Derivados Financieros. Combinaciones posibles. Portfolios de inversión y endeudamiento. Exposición de deuda </w:t>
      </w:r>
    </w:p>
    <w:p w:rsidR="004B7EBB" w:rsidRDefault="004B7EBB" w:rsidP="004B7EBB">
      <w:pPr>
        <w:jc w:val="both"/>
        <w:rPr>
          <w:b/>
          <w:sz w:val="24"/>
          <w:lang w:val="es-ES"/>
        </w:rPr>
      </w:pPr>
      <w:proofErr w:type="gramStart"/>
      <w:r w:rsidRPr="00F90567">
        <w:rPr>
          <w:sz w:val="24"/>
          <w:szCs w:val="24"/>
        </w:rPr>
        <w:t>y</w:t>
      </w:r>
      <w:proofErr w:type="gramEnd"/>
      <w:r w:rsidRPr="00F90567">
        <w:rPr>
          <w:sz w:val="24"/>
          <w:szCs w:val="24"/>
        </w:rPr>
        <w:t xml:space="preserve"> calificación crediticia. Project </w:t>
      </w:r>
      <w:proofErr w:type="spellStart"/>
      <w:r w:rsidRPr="00F90567">
        <w:rPr>
          <w:sz w:val="24"/>
          <w:szCs w:val="24"/>
        </w:rPr>
        <w:t>Finance</w:t>
      </w:r>
      <w:proofErr w:type="spellEnd"/>
      <w:r w:rsidRPr="00F90567">
        <w:rPr>
          <w:sz w:val="24"/>
          <w:szCs w:val="24"/>
        </w:rPr>
        <w:t>. Caracterización y</w:t>
      </w:r>
      <w:r w:rsidRPr="00CF4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funciones. Aspectos </w:t>
      </w:r>
      <w:r w:rsidRPr="00CF400B">
        <w:rPr>
          <w:sz w:val="24"/>
          <w:szCs w:val="24"/>
        </w:rPr>
        <w:t>contractuales y regulatorios.</w:t>
      </w:r>
    </w:p>
    <w:p w:rsidR="004B7EBB" w:rsidRPr="00CF400B" w:rsidRDefault="004B7EBB" w:rsidP="004B7EBB">
      <w:pPr>
        <w:pStyle w:val="Bodytext20"/>
        <w:numPr>
          <w:ilvl w:val="1"/>
          <w:numId w:val="2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Riesgos, ventajas y garantías posibles. Los inversores frente al incumplimiento.</w:t>
      </w:r>
    </w:p>
    <w:p w:rsidR="004B7EBB" w:rsidRDefault="004B7EBB" w:rsidP="004B7EBB">
      <w:pPr>
        <w:pStyle w:val="Heading11"/>
        <w:keepNext/>
        <w:keepLines/>
        <w:shd w:val="clear" w:color="auto" w:fill="auto"/>
        <w:spacing w:after="52" w:line="360" w:lineRule="auto"/>
        <w:jc w:val="both"/>
        <w:rPr>
          <w:rFonts w:ascii="Times New Roman" w:hAnsi="Times New Roman"/>
          <w:sz w:val="24"/>
          <w:szCs w:val="24"/>
        </w:rPr>
      </w:pPr>
    </w:p>
    <w:p w:rsidR="004B7EBB" w:rsidRDefault="004B7EBB" w:rsidP="004B7EBB">
      <w:pPr>
        <w:pStyle w:val="Heading11"/>
        <w:keepNext/>
        <w:keepLines/>
        <w:shd w:val="clear" w:color="auto" w:fill="auto"/>
        <w:spacing w:after="52" w:line="360" w:lineRule="auto"/>
        <w:jc w:val="both"/>
        <w:rPr>
          <w:rFonts w:ascii="Times New Roman" w:hAnsi="Times New Roman"/>
          <w:sz w:val="24"/>
          <w:szCs w:val="24"/>
        </w:rPr>
      </w:pPr>
    </w:p>
    <w:p w:rsidR="004B7EBB" w:rsidRDefault="004B7EBB" w:rsidP="004B7EBB">
      <w:pPr>
        <w:pStyle w:val="Heading11"/>
        <w:keepNext/>
        <w:keepLines/>
        <w:shd w:val="clear" w:color="auto" w:fill="auto"/>
        <w:spacing w:after="52" w:line="360" w:lineRule="auto"/>
        <w:jc w:val="both"/>
        <w:rPr>
          <w:rFonts w:ascii="Times New Roman" w:hAnsi="Times New Roman"/>
          <w:sz w:val="24"/>
          <w:szCs w:val="24"/>
        </w:rPr>
      </w:pPr>
    </w:p>
    <w:p w:rsidR="004B7EBB" w:rsidRDefault="004B7EBB" w:rsidP="004B7EBB">
      <w:pPr>
        <w:pStyle w:val="Heading11"/>
        <w:keepNext/>
        <w:keepLines/>
        <w:shd w:val="clear" w:color="auto" w:fill="auto"/>
        <w:spacing w:after="153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7EBB" w:rsidRPr="00CF400B" w:rsidRDefault="004B7EBB" w:rsidP="004B7EBB">
      <w:pPr>
        <w:pStyle w:val="Heading11"/>
        <w:keepNext/>
        <w:keepLines/>
        <w:shd w:val="clear" w:color="auto" w:fill="auto"/>
        <w:spacing w:after="153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MÓDULO 3</w:t>
      </w:r>
      <w:r w:rsidRPr="00CF400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F</w:t>
      </w:r>
      <w:r w:rsidRPr="00CF400B">
        <w:rPr>
          <w:rFonts w:ascii="Times New Roman" w:hAnsi="Times New Roman"/>
          <w:b/>
          <w:i/>
          <w:sz w:val="24"/>
          <w:szCs w:val="24"/>
        </w:rPr>
        <w:t xml:space="preserve">ideicomiso y </w:t>
      </w:r>
      <w:proofErr w:type="spellStart"/>
      <w:r w:rsidRPr="00CF400B">
        <w:rPr>
          <w:rFonts w:ascii="Times New Roman" w:hAnsi="Times New Roman"/>
          <w:b/>
          <w:i/>
          <w:sz w:val="24"/>
          <w:szCs w:val="24"/>
        </w:rPr>
        <w:t>fid</w:t>
      </w:r>
      <w:proofErr w:type="spellEnd"/>
    </w:p>
    <w:p w:rsidR="004B7EBB" w:rsidRPr="00CF400B" w:rsidRDefault="004B7EBB" w:rsidP="004B7EBB">
      <w:pPr>
        <w:pStyle w:val="Bodytext20"/>
        <w:shd w:val="clear" w:color="auto" w:fill="auto"/>
        <w:tabs>
          <w:tab w:val="left" w:pos="773"/>
        </w:tabs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Pr="00CF400B">
        <w:rPr>
          <w:rFonts w:ascii="Times New Roman" w:hAnsi="Times New Roman"/>
          <w:sz w:val="24"/>
          <w:szCs w:val="24"/>
        </w:rPr>
        <w:t xml:space="preserve">Fideicomisos y FID: características generales y específicas, fundamentos. </w:t>
      </w:r>
    </w:p>
    <w:p w:rsidR="004B7EBB" w:rsidRPr="00CF400B" w:rsidRDefault="004B7EBB" w:rsidP="004B7EBB">
      <w:pPr>
        <w:pStyle w:val="Bodytext20"/>
        <w:numPr>
          <w:ilvl w:val="1"/>
          <w:numId w:val="3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 xml:space="preserve">Clases y objetivos. Partes involucradas. Clasificación legal y doctrinaria. </w:t>
      </w:r>
    </w:p>
    <w:p w:rsidR="004B7EBB" w:rsidRPr="00CF400B" w:rsidRDefault="004B7EBB" w:rsidP="004B7EBB">
      <w:pPr>
        <w:pStyle w:val="Bodytext20"/>
        <w:numPr>
          <w:ilvl w:val="1"/>
          <w:numId w:val="3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Fideicomiso, FCI y FID: Inversiones directas e indirectas, aspectos y diferencias.</w:t>
      </w:r>
    </w:p>
    <w:p w:rsidR="004B7EBB" w:rsidRPr="00CF400B" w:rsidRDefault="004B7EBB" w:rsidP="004B7EBB">
      <w:pPr>
        <w:pStyle w:val="Bodytext20"/>
        <w:numPr>
          <w:ilvl w:val="1"/>
          <w:numId w:val="3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Aspectos fiscales e impositivos del Fideicomiso y los FID</w:t>
      </w:r>
    </w:p>
    <w:p w:rsidR="004B7EBB" w:rsidRPr="00CF400B" w:rsidRDefault="004B7EBB" w:rsidP="004B7EBB">
      <w:pPr>
        <w:pStyle w:val="Bodytext20"/>
        <w:shd w:val="clear" w:color="auto" w:fill="auto"/>
        <w:tabs>
          <w:tab w:val="left" w:pos="773"/>
        </w:tabs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ab/>
      </w:r>
    </w:p>
    <w:p w:rsidR="004B7EBB" w:rsidRDefault="004B7EBB" w:rsidP="004B7EBB">
      <w:pPr>
        <w:pStyle w:val="Heading11"/>
        <w:keepNext/>
        <w:keepLines/>
        <w:shd w:val="clear" w:color="auto" w:fill="auto"/>
        <w:spacing w:after="153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MODULO 4</w:t>
      </w:r>
      <w:r w:rsidRPr="00CF400B">
        <w:rPr>
          <w:rFonts w:ascii="Times New Roman" w:hAnsi="Times New Roman"/>
          <w:b/>
          <w:sz w:val="24"/>
          <w:szCs w:val="24"/>
        </w:rPr>
        <w:t>: El FIDUCIARIO. TIPOS DE FIDEICOMISOS</w:t>
      </w:r>
    </w:p>
    <w:p w:rsidR="004B7EBB" w:rsidRPr="000E4787" w:rsidRDefault="004B7EBB" w:rsidP="004B7EBB">
      <w:pPr>
        <w:pStyle w:val="Heading11"/>
        <w:keepNext/>
        <w:keepLines/>
        <w:numPr>
          <w:ilvl w:val="1"/>
          <w:numId w:val="4"/>
        </w:numPr>
        <w:shd w:val="clear" w:color="auto" w:fill="auto"/>
        <w:spacing w:after="153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El Encargo fiduciario: determinación y limitación.</w:t>
      </w:r>
    </w:p>
    <w:p w:rsidR="004B7EBB" w:rsidRPr="00CF400B" w:rsidRDefault="004B7EBB" w:rsidP="004B7EBB">
      <w:pPr>
        <w:pStyle w:val="Bodytext20"/>
        <w:numPr>
          <w:ilvl w:val="1"/>
          <w:numId w:val="4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El Fiduciario. Derechos y responsabilidades.</w:t>
      </w:r>
    </w:p>
    <w:p w:rsidR="004B7EBB" w:rsidRPr="00CF400B" w:rsidRDefault="004B7EBB" w:rsidP="004B7EBB">
      <w:pPr>
        <w:pStyle w:val="Bodytext20"/>
        <w:numPr>
          <w:ilvl w:val="1"/>
          <w:numId w:val="4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El Fideicomiso aplicado a la Economía Real.</w:t>
      </w:r>
    </w:p>
    <w:p w:rsidR="004B7EBB" w:rsidRPr="00CF400B" w:rsidRDefault="004B7EBB" w:rsidP="004B7EBB">
      <w:pPr>
        <w:pStyle w:val="Bodytext20"/>
        <w:numPr>
          <w:ilvl w:val="1"/>
          <w:numId w:val="4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El negocio subyacente.</w:t>
      </w:r>
    </w:p>
    <w:p w:rsidR="004B7EBB" w:rsidRPr="00CF400B" w:rsidRDefault="004B7EBB" w:rsidP="004B7EBB">
      <w:pPr>
        <w:pStyle w:val="Bodytext20"/>
        <w:numPr>
          <w:ilvl w:val="1"/>
          <w:numId w:val="4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El Fideicomiso para las Pymes.</w:t>
      </w:r>
    </w:p>
    <w:p w:rsidR="004B7EBB" w:rsidRPr="00CF400B" w:rsidRDefault="004B7EBB" w:rsidP="004B7EBB">
      <w:pPr>
        <w:pStyle w:val="Bodytext20"/>
        <w:shd w:val="clear" w:color="auto" w:fill="auto"/>
        <w:tabs>
          <w:tab w:val="left" w:pos="773"/>
        </w:tabs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 </w:t>
      </w:r>
      <w:r w:rsidRPr="00CF400B">
        <w:rPr>
          <w:rFonts w:ascii="Times New Roman" w:hAnsi="Times New Roman"/>
          <w:sz w:val="24"/>
          <w:szCs w:val="24"/>
        </w:rPr>
        <w:t>El Fideicomiso de Garantía. El Testamentario. El de Planificación Financiera y Familiar.</w:t>
      </w:r>
    </w:p>
    <w:p w:rsidR="004B7EBB" w:rsidRPr="00CF400B" w:rsidRDefault="004B7EBB" w:rsidP="004B7EBB">
      <w:pPr>
        <w:pStyle w:val="Bodytext20"/>
        <w:numPr>
          <w:ilvl w:val="1"/>
          <w:numId w:val="5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Fideicomisos Inmobiliarios, Agropecuarios y Forestales.</w:t>
      </w:r>
    </w:p>
    <w:p w:rsidR="004B7EBB" w:rsidRPr="00CF400B" w:rsidRDefault="004B7EBB" w:rsidP="004B7EBB">
      <w:pPr>
        <w:pStyle w:val="Bodytext20"/>
        <w:numPr>
          <w:ilvl w:val="1"/>
          <w:numId w:val="5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El Fideicomiso para el uso del Estado con fines públicos.</w:t>
      </w:r>
    </w:p>
    <w:p w:rsidR="004B7EBB" w:rsidRPr="00667291" w:rsidRDefault="004B7EBB" w:rsidP="004B7EBB">
      <w:pPr>
        <w:pStyle w:val="Bodytext20"/>
        <w:numPr>
          <w:ilvl w:val="1"/>
          <w:numId w:val="5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Rendición de cuentas.</w:t>
      </w:r>
    </w:p>
    <w:p w:rsidR="004B7EBB" w:rsidRPr="00CF400B" w:rsidRDefault="004B7EBB" w:rsidP="004B7EBB">
      <w:pPr>
        <w:pStyle w:val="Heading11"/>
        <w:keepNext/>
        <w:keepLines/>
        <w:shd w:val="clear" w:color="auto" w:fill="auto"/>
        <w:spacing w:after="153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MÓDULO 5</w:t>
      </w:r>
      <w:r w:rsidRPr="00CF400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A</w:t>
      </w:r>
      <w:r w:rsidRPr="000E4787">
        <w:rPr>
          <w:rFonts w:ascii="Times New Roman" w:hAnsi="Times New Roman"/>
          <w:b/>
          <w:i/>
          <w:sz w:val="24"/>
          <w:szCs w:val="24"/>
        </w:rPr>
        <w:t>plicación práctica</w:t>
      </w:r>
    </w:p>
    <w:p w:rsidR="004B7EBB" w:rsidRDefault="004B7EBB" w:rsidP="004B7EBB">
      <w:pPr>
        <w:pStyle w:val="Bodytext20"/>
        <w:numPr>
          <w:ilvl w:val="1"/>
          <w:numId w:val="6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Casuística y aplicación práctica.</w:t>
      </w:r>
    </w:p>
    <w:p w:rsidR="004B7EBB" w:rsidRPr="00FE414D" w:rsidRDefault="004B7EBB" w:rsidP="004B7EBB">
      <w:pPr>
        <w:pStyle w:val="Bodytext20"/>
        <w:numPr>
          <w:ilvl w:val="1"/>
          <w:numId w:val="6"/>
        </w:numPr>
        <w:shd w:val="clear" w:color="auto" w:fill="au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F400B">
        <w:rPr>
          <w:rFonts w:ascii="Times New Roman" w:hAnsi="Times New Roman"/>
          <w:sz w:val="24"/>
          <w:szCs w:val="24"/>
        </w:rPr>
        <w:t>Experiencias prácticas de aplicación. Recepción por parte del mercado.</w:t>
      </w:r>
    </w:p>
    <w:p w:rsidR="004B7EBB" w:rsidRPr="00FE414D" w:rsidRDefault="004B7EBB" w:rsidP="004B7EBB">
      <w:pPr>
        <w:jc w:val="center"/>
        <w:rPr>
          <w:b/>
          <w:sz w:val="24"/>
          <w:lang w:val="es-ES"/>
        </w:rPr>
      </w:pPr>
    </w:p>
    <w:p w:rsidR="00FB6380" w:rsidRDefault="00FB6380" w:rsidP="004B7EBB"/>
    <w:sectPr w:rsidR="00FB6380" w:rsidSect="00FB6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FAC"/>
    <w:multiLevelType w:val="hybridMultilevel"/>
    <w:tmpl w:val="594E642C"/>
    <w:lvl w:ilvl="0" w:tplc="747C2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E71CE"/>
    <w:multiLevelType w:val="multilevel"/>
    <w:tmpl w:val="9796B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71263"/>
    <w:multiLevelType w:val="multilevel"/>
    <w:tmpl w:val="49AEF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1F54C3"/>
    <w:multiLevelType w:val="multilevel"/>
    <w:tmpl w:val="EB4A0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4032A3"/>
    <w:multiLevelType w:val="multilevel"/>
    <w:tmpl w:val="BE820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BB1447"/>
    <w:multiLevelType w:val="multilevel"/>
    <w:tmpl w:val="37448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D5F48C4"/>
    <w:multiLevelType w:val="multilevel"/>
    <w:tmpl w:val="70DACE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2602ECA"/>
    <w:multiLevelType w:val="multilevel"/>
    <w:tmpl w:val="6100B8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EBB"/>
    <w:rsid w:val="004B7EBB"/>
    <w:rsid w:val="00FB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">
    <w:name w:val="Heading #1_"/>
    <w:link w:val="Heading11"/>
    <w:uiPriority w:val="99"/>
    <w:locked/>
    <w:rsid w:val="004B7EBB"/>
    <w:rPr>
      <w:rFonts w:ascii="David" w:hAnsi="David" w:cs="David"/>
      <w:sz w:val="28"/>
      <w:szCs w:val="28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4B7EBB"/>
    <w:pPr>
      <w:widowControl w:val="0"/>
      <w:shd w:val="clear" w:color="auto" w:fill="FFFFFF"/>
      <w:spacing w:after="1260" w:line="240" w:lineRule="atLeast"/>
      <w:jc w:val="center"/>
      <w:outlineLvl w:val="0"/>
    </w:pPr>
    <w:rPr>
      <w:rFonts w:ascii="David" w:eastAsiaTheme="minorHAnsi" w:hAnsi="David" w:cs="David"/>
      <w:sz w:val="28"/>
      <w:szCs w:val="28"/>
      <w:lang w:val="es-AR" w:eastAsia="en-US"/>
    </w:rPr>
  </w:style>
  <w:style w:type="character" w:customStyle="1" w:styleId="Bodytext2">
    <w:name w:val="Body text (2)_"/>
    <w:link w:val="Bodytext20"/>
    <w:uiPriority w:val="99"/>
    <w:locked/>
    <w:rsid w:val="004B7EBB"/>
    <w:rPr>
      <w:rFonts w:ascii="David" w:hAnsi="David" w:cs="David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B7EBB"/>
    <w:pPr>
      <w:widowControl w:val="0"/>
      <w:shd w:val="clear" w:color="auto" w:fill="FFFFFF"/>
      <w:spacing w:before="300" w:after="120" w:line="349" w:lineRule="exact"/>
      <w:jc w:val="both"/>
    </w:pPr>
    <w:rPr>
      <w:rFonts w:ascii="David" w:eastAsiaTheme="minorHAnsi" w:hAnsi="David" w:cs="David"/>
      <w:sz w:val="26"/>
      <w:szCs w:val="26"/>
      <w:lang w:val="es-AR" w:eastAsia="en-US"/>
    </w:rPr>
  </w:style>
  <w:style w:type="character" w:styleId="Hipervnculo">
    <w:name w:val="Hyperlink"/>
    <w:uiPriority w:val="99"/>
    <w:rsid w:val="004B7EBB"/>
    <w:rPr>
      <w:color w:val="0066CC"/>
      <w:u w:val="single"/>
    </w:rPr>
  </w:style>
  <w:style w:type="character" w:customStyle="1" w:styleId="Bodytext4">
    <w:name w:val="Body text (4)_"/>
    <w:link w:val="Bodytext40"/>
    <w:uiPriority w:val="99"/>
    <w:locked/>
    <w:rsid w:val="004B7EBB"/>
    <w:rPr>
      <w:rFonts w:ascii="Palatino Linotype" w:hAnsi="Palatino Linotype" w:cs="Palatino Linotype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4B7EBB"/>
    <w:pPr>
      <w:widowControl w:val="0"/>
      <w:shd w:val="clear" w:color="auto" w:fill="FFFFFF"/>
      <w:spacing w:before="360" w:line="240" w:lineRule="atLeast"/>
      <w:jc w:val="both"/>
    </w:pPr>
    <w:rPr>
      <w:rFonts w:ascii="Palatino Linotype" w:eastAsiaTheme="minorHAnsi" w:hAnsi="Palatino Linotype" w:cs="Palatino Linotype"/>
      <w:b/>
      <w:bCs/>
      <w:sz w:val="22"/>
      <w:szCs w:val="22"/>
      <w:lang w:val="es-AR" w:eastAsia="en-US"/>
    </w:rPr>
  </w:style>
  <w:style w:type="character" w:customStyle="1" w:styleId="Bodytext8">
    <w:name w:val="Body text (8)_"/>
    <w:link w:val="Bodytext80"/>
    <w:uiPriority w:val="99"/>
    <w:locked/>
    <w:rsid w:val="004B7EBB"/>
    <w:rPr>
      <w:rFonts w:ascii="Microsoft Sans Serif" w:hAnsi="Microsoft Sans Serif" w:cs="Microsoft Sans Serif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4B7EBB"/>
    <w:pPr>
      <w:widowControl w:val="0"/>
      <w:shd w:val="clear" w:color="auto" w:fill="FFFFFF"/>
      <w:spacing w:before="300" w:after="180" w:line="324" w:lineRule="exact"/>
      <w:ind w:hanging="360"/>
    </w:pPr>
    <w:rPr>
      <w:rFonts w:ascii="Microsoft Sans Serif" w:eastAsiaTheme="minorHAnsi" w:hAnsi="Microsoft Sans Serif" w:cs="Microsoft Sans Serif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Nelba</dc:creator>
  <cp:lastModifiedBy>Nelba</cp:lastModifiedBy>
  <cp:revision>1</cp:revision>
  <dcterms:created xsi:type="dcterms:W3CDTF">2018-04-26T11:33:00Z</dcterms:created>
  <dcterms:modified xsi:type="dcterms:W3CDTF">2018-04-26T11:34:00Z</dcterms:modified>
</cp:coreProperties>
</file>